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od2y8ujkkn1i" w:id="0"/>
      <w:bookmarkEnd w:id="0"/>
      <w:r w:rsidDel="00000000" w:rsidR="00000000" w:rsidRPr="00000000">
        <w:rPr>
          <w:rtl w:val="0"/>
        </w:rPr>
        <w:t xml:space="preserve">Documentación</w:t>
      </w:r>
    </w:p>
    <w:p w:rsidR="00000000" w:rsidDel="00000000" w:rsidP="00000000" w:rsidRDefault="00000000" w:rsidRPr="00000000" w14:paraId="00000002">
      <w:pPr>
        <w:rPr/>
      </w:pPr>
      <w:r w:rsidDel="00000000" w:rsidR="00000000" w:rsidRPr="00000000">
        <w:rPr>
          <w:rtl w:val="0"/>
        </w:rPr>
        <w:t xml:space="preserve">En la figura 1 se encuentra el flujograma principal. En la Figura 2 el bloque que se conecta a la salida</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drawing>
          <wp:inline distB="19050" distT="19050" distL="19050" distR="19050">
            <wp:extent cx="5731200" cy="1397000"/>
            <wp:effectExtent b="0" l="0" r="0" t="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731200" cy="13970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t xml:space="preserve">Fig 1</w:t>
      </w:r>
    </w:p>
    <w:p w:rsidR="00000000" w:rsidDel="00000000" w:rsidP="00000000" w:rsidRDefault="00000000" w:rsidRPr="00000000" w14:paraId="00000006">
      <w:pPr>
        <w:jc w:val="center"/>
        <w:rPr/>
      </w:pPr>
      <w:r w:rsidDel="00000000" w:rsidR="00000000" w:rsidRPr="00000000">
        <w:rPr/>
        <w:drawing>
          <wp:inline distB="19050" distT="19050" distL="19050" distR="19050">
            <wp:extent cx="2181450" cy="2743150"/>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181450" cy="274315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t xml:space="preserve">Fig 2</w:t>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pStyle w:val="Heading1"/>
        <w:jc w:val="both"/>
        <w:rPr/>
      </w:pPr>
      <w:bookmarkStart w:colFirst="0" w:colLast="0" w:name="_tldfzhtst22t" w:id="1"/>
      <w:bookmarkEnd w:id="1"/>
      <w:r w:rsidDel="00000000" w:rsidR="00000000" w:rsidRPr="00000000">
        <w:rPr/>
        <w:drawing>
          <wp:inline distB="114300" distT="114300" distL="114300" distR="114300">
            <wp:extent cx="3819525" cy="1362075"/>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819525" cy="1362075"/>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t xml:space="preserve">Fig. 3</w:t>
      </w:r>
    </w:p>
    <w:p w:rsidR="00000000" w:rsidDel="00000000" w:rsidP="00000000" w:rsidRDefault="00000000" w:rsidRPr="00000000" w14:paraId="0000000B">
      <w:pPr>
        <w:pStyle w:val="Heading1"/>
        <w:jc w:val="both"/>
        <w:rPr/>
      </w:pPr>
      <w:bookmarkStart w:colFirst="0" w:colLast="0" w:name="_r6y4lmphssub" w:id="2"/>
      <w:bookmarkEnd w:id="2"/>
      <w:r w:rsidDel="00000000" w:rsidR="00000000" w:rsidRPr="00000000">
        <w:rPr>
          <w:rtl w:val="0"/>
        </w:rPr>
        <w:t xml:space="preserve">El flujograma principal</w:t>
      </w:r>
    </w:p>
    <w:p w:rsidR="00000000" w:rsidDel="00000000" w:rsidP="00000000" w:rsidRDefault="00000000" w:rsidRPr="00000000" w14:paraId="0000000C">
      <w:pPr>
        <w:rPr/>
      </w:pPr>
      <w:r w:rsidDel="00000000" w:rsidR="00000000" w:rsidRPr="00000000">
        <w:rPr>
          <w:rtl w:val="0"/>
        </w:rPr>
        <w:t xml:space="preserve">No vamos a ahondar mucho en este. Más bien recomendamos revisar la documentación producida en el </w:t>
      </w:r>
      <w:hyperlink r:id="rId9">
        <w:r w:rsidDel="00000000" w:rsidR="00000000" w:rsidRPr="00000000">
          <w:rPr>
            <w:color w:val="1155cc"/>
            <w:u w:val="single"/>
            <w:rtl w:val="0"/>
          </w:rPr>
          <w:t xml:space="preserve">trabajo de grado de Luis Felipe Cañizales y Karen Daniela Guzman</w:t>
        </w:r>
      </w:hyperlink>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1"/>
        <w:rPr/>
      </w:pPr>
      <w:bookmarkStart w:colFirst="0" w:colLast="0" w:name="_qvcshgkzrueu" w:id="3"/>
      <w:bookmarkEnd w:id="3"/>
      <w:r w:rsidDel="00000000" w:rsidR="00000000" w:rsidRPr="00000000">
        <w:rPr>
          <w:rtl w:val="0"/>
        </w:rPr>
        <w:t xml:space="preserve">El bloque “Guardar en archivo CSV”</w:t>
      </w:r>
    </w:p>
    <w:p w:rsidR="00000000" w:rsidDel="00000000" w:rsidP="00000000" w:rsidRDefault="00000000" w:rsidRPr="00000000" w14:paraId="0000000F">
      <w:pPr>
        <w:rPr/>
      </w:pPr>
      <w:r w:rsidDel="00000000" w:rsidR="00000000" w:rsidRPr="00000000">
        <w:rPr>
          <w:rtl w:val="0"/>
        </w:rPr>
        <w:t xml:space="preserve">toma los datos del espectro, pero también las variables que se le suministran en los bloques de configuración de la Fig. 3. Por cada medición del espectro se genera una nueva fila que se registra en un archivo CSV. Si el archivo no existe, el mismo lo crea en la ruta señalada, reservando la primera fila para los encabezados. En la figura 4 hay un ejemplo del archivo</w:t>
      </w:r>
    </w:p>
    <w:p w:rsidR="00000000" w:rsidDel="00000000" w:rsidP="00000000" w:rsidRDefault="00000000" w:rsidRPr="00000000" w14:paraId="00000010">
      <w:pPr>
        <w:rPr/>
      </w:pPr>
      <w:r w:rsidDel="00000000" w:rsidR="00000000" w:rsidRPr="00000000">
        <w:rPr/>
        <w:drawing>
          <wp:inline distB="114300" distT="114300" distL="114300" distR="114300">
            <wp:extent cx="5731200" cy="3238500"/>
            <wp:effectExtent b="0" l="0" r="0" t="0"/>
            <wp:docPr id="4"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573120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jc w:val="center"/>
        <w:rPr/>
      </w:pPr>
      <w:r w:rsidDel="00000000" w:rsidR="00000000" w:rsidRPr="00000000">
        <w:rPr>
          <w:rtl w:val="0"/>
        </w:rPr>
        <w:t xml:space="preserve">Fig. 4</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hyperlink" Target="https://drive.google.com/drive/folders/1PQGH16xrPzf7k5RkfoLgWGrNzncbYPmv?usp=drive_link"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